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CA" w:rsidRPr="00CA74CA" w:rsidRDefault="00CA74CA" w:rsidP="005271F5">
      <w:pPr>
        <w:spacing w:before="100" w:beforeAutospacing="1" w:after="100" w:afterAutospacing="1" w:line="240" w:lineRule="auto"/>
        <w:jc w:val="center"/>
        <w:outlineLvl w:val="0"/>
        <w:rPr>
          <w:rFonts w:ascii="Arial" w:eastAsia="Times New Roman" w:hAnsi="Arial" w:cs="Arial"/>
          <w:b/>
          <w:bCs/>
          <w:kern w:val="36"/>
          <w:sz w:val="48"/>
          <w:szCs w:val="48"/>
        </w:rPr>
      </w:pPr>
      <w:bookmarkStart w:id="0" w:name="_GoBack"/>
      <w:bookmarkEnd w:id="0"/>
      <w:r w:rsidRPr="00CA74CA">
        <w:rPr>
          <w:rFonts w:ascii="Arial" w:eastAsia="Times New Roman" w:hAnsi="Arial" w:cs="Arial"/>
          <w:b/>
          <w:bCs/>
          <w:kern w:val="36"/>
          <w:sz w:val="24"/>
          <w:szCs w:val="24"/>
          <w:lang w:val="en-CA"/>
        </w:rPr>
        <w:t>Fraser Valley Tournament Protocols</w:t>
      </w:r>
    </w:p>
    <w:p w:rsidR="00CA74CA" w:rsidRDefault="00CA74CA" w:rsidP="005271F5">
      <w:pPr>
        <w:spacing w:before="100" w:beforeAutospacing="1" w:after="100" w:afterAutospacing="1" w:line="240" w:lineRule="auto"/>
        <w:ind w:left="540"/>
        <w:rPr>
          <w:rFonts w:ascii="Arial" w:eastAsia="Times New Roman" w:hAnsi="Arial" w:cs="Arial"/>
          <w:sz w:val="24"/>
          <w:szCs w:val="24"/>
          <w:lang w:val="en-CA"/>
        </w:rPr>
      </w:pPr>
      <w:r w:rsidRPr="00CA74CA">
        <w:rPr>
          <w:rFonts w:ascii="Arial" w:eastAsia="Times New Roman" w:hAnsi="Arial" w:cs="Arial"/>
          <w:sz w:val="24"/>
          <w:szCs w:val="24"/>
          <w:lang w:val="en-CA"/>
        </w:rPr>
        <w:t xml:space="preserve">The following protocols have been approved and will be implemented during all Fraser Valley Tournaments. Tournament hosts are to ensure that all coaches, players and officials are aware of the following: </w:t>
      </w:r>
    </w:p>
    <w:tbl>
      <w:tblPr>
        <w:tblW w:w="9701" w:type="dxa"/>
        <w:tblCellSpacing w:w="0" w:type="dxa"/>
        <w:tblCellMar>
          <w:left w:w="0" w:type="dxa"/>
          <w:right w:w="0" w:type="dxa"/>
        </w:tblCellMar>
        <w:tblLook w:val="04A0" w:firstRow="1" w:lastRow="0" w:firstColumn="1" w:lastColumn="0" w:noHBand="0" w:noVBand="1"/>
      </w:tblPr>
      <w:tblGrid>
        <w:gridCol w:w="2228"/>
        <w:gridCol w:w="7473"/>
      </w:tblGrid>
      <w:tr w:rsidR="00CA74CA" w:rsidRPr="00CA74CA" w:rsidTr="00CA74CA">
        <w:trPr>
          <w:trHeight w:val="312"/>
          <w:tblCellSpacing w:w="0" w:type="dxa"/>
        </w:trPr>
        <w:tc>
          <w:tcPr>
            <w:tcW w:w="0" w:type="auto"/>
            <w:shd w:val="clear" w:color="auto" w:fill="auto"/>
            <w:hideMark/>
          </w:tcPr>
          <w:p w:rsidR="00CA74CA" w:rsidRPr="00CA74CA" w:rsidRDefault="00CA74CA" w:rsidP="005271F5">
            <w:pPr>
              <w:spacing w:before="100" w:beforeAutospacing="1" w:after="100" w:afterAutospacing="1" w:line="360" w:lineRule="auto"/>
              <w:ind w:left="540"/>
              <w:rPr>
                <w:rFonts w:ascii="Times New Roman" w:eastAsia="Times New Roman" w:hAnsi="Times New Roman" w:cs="Times New Roman"/>
                <w:sz w:val="24"/>
                <w:szCs w:val="24"/>
              </w:rPr>
            </w:pPr>
            <w:r w:rsidRPr="00CA74CA">
              <w:rPr>
                <w:rFonts w:ascii="Arial" w:eastAsia="Times New Roman" w:hAnsi="Arial" w:cs="Arial"/>
                <w:b/>
                <w:bCs/>
                <w:sz w:val="24"/>
                <w:szCs w:val="24"/>
                <w:lang w:val="en-CA"/>
              </w:rPr>
              <w:t>Rules</w:t>
            </w:r>
          </w:p>
        </w:tc>
        <w:tc>
          <w:tcPr>
            <w:tcW w:w="0" w:type="auto"/>
            <w:shd w:val="clear" w:color="auto" w:fill="auto"/>
            <w:hideMark/>
          </w:tcPr>
          <w:p w:rsidR="00CA74CA" w:rsidRPr="00CA74CA" w:rsidRDefault="00CA74CA" w:rsidP="005271F5">
            <w:pPr>
              <w:spacing w:before="100" w:beforeAutospacing="1" w:after="120" w:line="360" w:lineRule="auto"/>
              <w:ind w:left="540"/>
              <w:rPr>
                <w:rFonts w:ascii="Arial" w:eastAsia="Times New Roman" w:hAnsi="Arial" w:cs="Arial"/>
                <w:sz w:val="24"/>
                <w:szCs w:val="24"/>
                <w:lang w:val="en-CA"/>
              </w:rPr>
            </w:pPr>
            <w:r w:rsidRPr="00CA74CA">
              <w:rPr>
                <w:rFonts w:ascii="Arial" w:eastAsia="Times New Roman" w:hAnsi="Arial" w:cs="Arial"/>
                <w:sz w:val="24"/>
                <w:szCs w:val="24"/>
                <w:lang w:val="en-CA"/>
              </w:rPr>
              <w:t>Unless stated, CVA rules apply</w:t>
            </w:r>
          </w:p>
        </w:tc>
      </w:tr>
      <w:tr w:rsidR="00CA74CA" w:rsidRPr="00CA74CA" w:rsidTr="00CA74CA">
        <w:trPr>
          <w:trHeight w:val="290"/>
          <w:tblCellSpacing w:w="0" w:type="dxa"/>
        </w:trPr>
        <w:tc>
          <w:tcPr>
            <w:tcW w:w="0" w:type="auto"/>
            <w:shd w:val="clear" w:color="auto" w:fill="auto"/>
            <w:hideMark/>
          </w:tcPr>
          <w:p w:rsidR="00CA74CA" w:rsidRPr="00CA74CA" w:rsidRDefault="00CA74CA" w:rsidP="005271F5">
            <w:pPr>
              <w:spacing w:before="100" w:beforeAutospacing="1" w:after="100" w:afterAutospacing="1" w:line="360" w:lineRule="auto"/>
              <w:ind w:left="540"/>
              <w:rPr>
                <w:rFonts w:ascii="Arial" w:eastAsia="Times New Roman" w:hAnsi="Arial" w:cs="Arial"/>
                <w:sz w:val="24"/>
                <w:szCs w:val="24"/>
              </w:rPr>
            </w:pPr>
            <w:r w:rsidRPr="00CA74CA">
              <w:rPr>
                <w:rFonts w:ascii="Arial" w:eastAsia="Times New Roman" w:hAnsi="Arial" w:cs="Arial"/>
                <w:b/>
                <w:bCs/>
                <w:sz w:val="24"/>
                <w:szCs w:val="24"/>
                <w:lang w:val="en-CA"/>
              </w:rPr>
              <w:t>Jewellery</w:t>
            </w:r>
          </w:p>
        </w:tc>
        <w:tc>
          <w:tcPr>
            <w:tcW w:w="0" w:type="auto"/>
            <w:shd w:val="clear" w:color="auto" w:fill="auto"/>
            <w:hideMark/>
          </w:tcPr>
          <w:p w:rsidR="00CA74CA" w:rsidRPr="00CA74CA" w:rsidRDefault="00CA74CA" w:rsidP="005271F5">
            <w:pPr>
              <w:spacing w:before="100" w:beforeAutospacing="1" w:after="120" w:line="360" w:lineRule="auto"/>
              <w:ind w:left="540"/>
              <w:rPr>
                <w:rFonts w:ascii="Arial" w:eastAsia="Times New Roman" w:hAnsi="Arial" w:cs="Arial"/>
                <w:sz w:val="24"/>
                <w:szCs w:val="24"/>
              </w:rPr>
            </w:pPr>
            <w:r w:rsidRPr="00CA74CA">
              <w:rPr>
                <w:rFonts w:ascii="Arial" w:eastAsia="Times New Roman" w:hAnsi="Arial" w:cs="Arial"/>
                <w:sz w:val="24"/>
                <w:szCs w:val="24"/>
                <w:lang w:val="en-CA"/>
              </w:rPr>
              <w:t>All visible jewellery is to be removed or taped</w:t>
            </w:r>
          </w:p>
        </w:tc>
      </w:tr>
      <w:tr w:rsidR="00CA74CA" w:rsidRPr="00CA74CA" w:rsidTr="00CA74CA">
        <w:trPr>
          <w:trHeight w:val="691"/>
          <w:tblCellSpacing w:w="0" w:type="dxa"/>
        </w:trPr>
        <w:tc>
          <w:tcPr>
            <w:tcW w:w="0" w:type="auto"/>
            <w:shd w:val="clear" w:color="auto" w:fill="auto"/>
            <w:hideMark/>
          </w:tcPr>
          <w:p w:rsidR="00CA74CA" w:rsidRPr="00CA74CA" w:rsidRDefault="00CA74CA" w:rsidP="005271F5">
            <w:pPr>
              <w:spacing w:before="100" w:beforeAutospacing="1" w:after="100" w:afterAutospacing="1" w:line="360" w:lineRule="auto"/>
              <w:ind w:left="540"/>
              <w:rPr>
                <w:rFonts w:ascii="Arial" w:eastAsia="Times New Roman" w:hAnsi="Arial" w:cs="Arial"/>
                <w:sz w:val="24"/>
                <w:szCs w:val="24"/>
              </w:rPr>
            </w:pPr>
            <w:r w:rsidRPr="00CA74CA">
              <w:rPr>
                <w:rFonts w:ascii="Arial" w:eastAsia="Times New Roman" w:hAnsi="Arial" w:cs="Arial"/>
                <w:b/>
                <w:bCs/>
                <w:sz w:val="24"/>
                <w:szCs w:val="24"/>
                <w:lang w:val="en-CA"/>
              </w:rPr>
              <w:t>Uniforms</w:t>
            </w:r>
          </w:p>
        </w:tc>
        <w:tc>
          <w:tcPr>
            <w:tcW w:w="0" w:type="auto"/>
            <w:shd w:val="clear" w:color="auto" w:fill="auto"/>
            <w:hideMark/>
          </w:tcPr>
          <w:p w:rsidR="00CA74CA" w:rsidRPr="00CA74CA" w:rsidRDefault="00CA74CA" w:rsidP="005271F5">
            <w:pPr>
              <w:spacing w:before="100" w:beforeAutospacing="1" w:after="120"/>
              <w:ind w:left="540"/>
              <w:rPr>
                <w:rFonts w:ascii="Arial" w:eastAsia="Times New Roman" w:hAnsi="Arial" w:cs="Arial"/>
                <w:sz w:val="24"/>
                <w:szCs w:val="24"/>
                <w:lang w:val="en-CA"/>
              </w:rPr>
            </w:pPr>
            <w:r w:rsidRPr="00CA74CA">
              <w:rPr>
                <w:rFonts w:ascii="Arial" w:eastAsia="Times New Roman" w:hAnsi="Arial" w:cs="Arial"/>
                <w:sz w:val="24"/>
                <w:szCs w:val="24"/>
                <w:lang w:val="en-CA"/>
              </w:rPr>
              <w:t>Uniform tops are to be numbered front and back, and shall be of the same color and design. Shorts are to have the same appearance, but may have some insignificant minor differences (</w:t>
            </w:r>
            <w:proofErr w:type="spellStart"/>
            <w:r w:rsidRPr="00CA74CA">
              <w:rPr>
                <w:rFonts w:ascii="Arial" w:eastAsia="Times New Roman" w:hAnsi="Arial" w:cs="Arial"/>
                <w:sz w:val="24"/>
                <w:szCs w:val="24"/>
                <w:lang w:val="en-CA"/>
              </w:rPr>
              <w:t>eg</w:t>
            </w:r>
            <w:proofErr w:type="spellEnd"/>
            <w:r w:rsidRPr="00CA74CA">
              <w:rPr>
                <w:rFonts w:ascii="Arial" w:eastAsia="Times New Roman" w:hAnsi="Arial" w:cs="Arial"/>
                <w:sz w:val="24"/>
                <w:szCs w:val="24"/>
                <w:lang w:val="en-CA"/>
              </w:rPr>
              <w:t>. different logo)</w:t>
            </w:r>
          </w:p>
        </w:tc>
      </w:tr>
      <w:tr w:rsidR="00CA74CA" w:rsidRPr="00CA74CA" w:rsidTr="00CA74CA">
        <w:trPr>
          <w:trHeight w:val="936"/>
          <w:tblCellSpacing w:w="0" w:type="dxa"/>
        </w:trPr>
        <w:tc>
          <w:tcPr>
            <w:tcW w:w="0" w:type="auto"/>
            <w:shd w:val="clear" w:color="auto" w:fill="auto"/>
            <w:hideMark/>
          </w:tcPr>
          <w:p w:rsidR="00CA74CA" w:rsidRPr="00CA74CA" w:rsidRDefault="00CA74CA" w:rsidP="005271F5">
            <w:pPr>
              <w:spacing w:before="100" w:beforeAutospacing="1" w:after="100" w:afterAutospacing="1"/>
              <w:ind w:left="540"/>
              <w:rPr>
                <w:rFonts w:ascii="Arial" w:eastAsia="Times New Roman" w:hAnsi="Arial" w:cs="Arial"/>
                <w:sz w:val="24"/>
                <w:szCs w:val="24"/>
              </w:rPr>
            </w:pPr>
            <w:r w:rsidRPr="00CA74CA">
              <w:rPr>
                <w:rFonts w:ascii="Arial" w:eastAsia="Times New Roman" w:hAnsi="Arial" w:cs="Arial"/>
                <w:b/>
                <w:bCs/>
                <w:sz w:val="24"/>
                <w:szCs w:val="24"/>
                <w:lang w:val="en-CA"/>
              </w:rPr>
              <w:t>Ribbons &amp;</w:t>
            </w:r>
            <w:r>
              <w:rPr>
                <w:rFonts w:ascii="Arial" w:eastAsia="Times New Roman" w:hAnsi="Arial" w:cs="Arial"/>
                <w:sz w:val="24"/>
                <w:szCs w:val="24"/>
              </w:rPr>
              <w:t xml:space="preserve"> </w:t>
            </w:r>
            <w:r w:rsidRPr="00CA74CA">
              <w:rPr>
                <w:rFonts w:ascii="Arial" w:eastAsia="Times New Roman" w:hAnsi="Arial" w:cs="Arial"/>
                <w:b/>
                <w:bCs/>
                <w:sz w:val="24"/>
                <w:szCs w:val="24"/>
                <w:lang w:val="en-CA"/>
              </w:rPr>
              <w:t>Headwear</w:t>
            </w:r>
          </w:p>
        </w:tc>
        <w:tc>
          <w:tcPr>
            <w:tcW w:w="0" w:type="auto"/>
            <w:shd w:val="clear" w:color="auto" w:fill="auto"/>
            <w:hideMark/>
          </w:tcPr>
          <w:p w:rsidR="00CA74CA" w:rsidRPr="00CA74CA" w:rsidRDefault="00CA74CA" w:rsidP="005271F5">
            <w:pPr>
              <w:spacing w:before="100" w:beforeAutospacing="1" w:after="120"/>
              <w:ind w:left="540"/>
              <w:rPr>
                <w:rFonts w:ascii="Arial" w:eastAsia="Times New Roman" w:hAnsi="Arial" w:cs="Arial"/>
                <w:sz w:val="24"/>
                <w:szCs w:val="24"/>
              </w:rPr>
            </w:pPr>
            <w:r w:rsidRPr="00CA74CA">
              <w:rPr>
                <w:rFonts w:ascii="Arial" w:eastAsia="Times New Roman" w:hAnsi="Arial" w:cs="Arial"/>
                <w:sz w:val="24"/>
                <w:szCs w:val="24"/>
                <w:lang w:val="en-CA"/>
              </w:rPr>
              <w:t xml:space="preserve">Players may wear multi-coloured hair ribbons. Bandanas can be worn but they cannot be offensive in nature and must be identical for all players who wear them </w:t>
            </w:r>
          </w:p>
        </w:tc>
      </w:tr>
      <w:tr w:rsidR="00CA74CA" w:rsidRPr="00CA74CA" w:rsidTr="00CA74CA">
        <w:trPr>
          <w:trHeight w:val="468"/>
          <w:tblCellSpacing w:w="0" w:type="dxa"/>
        </w:trPr>
        <w:tc>
          <w:tcPr>
            <w:tcW w:w="0" w:type="auto"/>
            <w:shd w:val="clear" w:color="auto" w:fill="auto"/>
            <w:hideMark/>
          </w:tcPr>
          <w:p w:rsidR="00CA74CA" w:rsidRPr="00CA74CA" w:rsidRDefault="00CA74CA" w:rsidP="005271F5">
            <w:pPr>
              <w:spacing w:before="100" w:beforeAutospacing="1" w:after="100" w:afterAutospacing="1" w:line="360" w:lineRule="auto"/>
              <w:ind w:left="540"/>
              <w:rPr>
                <w:rFonts w:ascii="Arial" w:eastAsia="Times New Roman" w:hAnsi="Arial" w:cs="Arial"/>
                <w:sz w:val="24"/>
                <w:szCs w:val="24"/>
              </w:rPr>
            </w:pPr>
            <w:proofErr w:type="spellStart"/>
            <w:r w:rsidRPr="00CA74CA">
              <w:rPr>
                <w:rFonts w:ascii="Arial" w:eastAsia="Times New Roman" w:hAnsi="Arial" w:cs="Arial"/>
                <w:b/>
                <w:bCs/>
                <w:sz w:val="24"/>
                <w:szCs w:val="24"/>
                <w:lang w:val="en-CA"/>
              </w:rPr>
              <w:t>Warmups</w:t>
            </w:r>
            <w:proofErr w:type="spellEnd"/>
          </w:p>
        </w:tc>
        <w:tc>
          <w:tcPr>
            <w:tcW w:w="0" w:type="auto"/>
            <w:shd w:val="clear" w:color="auto" w:fill="auto"/>
            <w:hideMark/>
          </w:tcPr>
          <w:p w:rsidR="00CA74CA" w:rsidRPr="00CA74CA" w:rsidRDefault="00CA74CA" w:rsidP="005271F5">
            <w:pPr>
              <w:spacing w:before="100" w:beforeAutospacing="1" w:after="120"/>
              <w:ind w:left="540"/>
              <w:rPr>
                <w:rFonts w:ascii="Arial" w:eastAsia="Times New Roman" w:hAnsi="Arial" w:cs="Arial"/>
                <w:sz w:val="24"/>
                <w:szCs w:val="24"/>
              </w:rPr>
            </w:pPr>
            <w:r w:rsidRPr="00CA74CA">
              <w:rPr>
                <w:rFonts w:ascii="Arial" w:eastAsia="Times New Roman" w:hAnsi="Arial" w:cs="Arial"/>
                <w:sz w:val="24"/>
                <w:szCs w:val="24"/>
                <w:lang w:val="en-CA"/>
              </w:rPr>
              <w:t>Warm-up for all the matches will be a minimum of 5-5. Warm-ups will not be shortened if the tournament is behind schedule.</w:t>
            </w:r>
          </w:p>
        </w:tc>
      </w:tr>
      <w:tr w:rsidR="00CA74CA" w:rsidRPr="00CA74CA" w:rsidTr="00CA74CA">
        <w:trPr>
          <w:trHeight w:val="513"/>
          <w:tblCellSpacing w:w="0" w:type="dxa"/>
        </w:trPr>
        <w:tc>
          <w:tcPr>
            <w:tcW w:w="0" w:type="auto"/>
            <w:shd w:val="clear" w:color="auto" w:fill="auto"/>
            <w:hideMark/>
          </w:tcPr>
          <w:p w:rsidR="00CA74CA" w:rsidRPr="00CA74CA" w:rsidRDefault="00CA74CA" w:rsidP="005271F5">
            <w:pPr>
              <w:spacing w:before="100" w:beforeAutospacing="1" w:after="100" w:afterAutospacing="1" w:line="360" w:lineRule="auto"/>
              <w:ind w:left="540"/>
              <w:rPr>
                <w:rFonts w:ascii="Arial" w:eastAsia="Times New Roman" w:hAnsi="Arial" w:cs="Arial"/>
                <w:sz w:val="24"/>
                <w:szCs w:val="24"/>
              </w:rPr>
            </w:pPr>
            <w:r w:rsidRPr="00CA74CA">
              <w:rPr>
                <w:rFonts w:ascii="Arial" w:eastAsia="Times New Roman" w:hAnsi="Arial" w:cs="Arial"/>
                <w:b/>
                <w:bCs/>
                <w:sz w:val="24"/>
                <w:szCs w:val="24"/>
                <w:lang w:val="en-CA"/>
              </w:rPr>
              <w:t>Rosters</w:t>
            </w:r>
          </w:p>
        </w:tc>
        <w:tc>
          <w:tcPr>
            <w:tcW w:w="0" w:type="auto"/>
            <w:shd w:val="clear" w:color="auto" w:fill="auto"/>
            <w:hideMark/>
          </w:tcPr>
          <w:p w:rsidR="00CA74CA" w:rsidRPr="00CA74CA" w:rsidRDefault="00CA74CA" w:rsidP="005271F5">
            <w:pPr>
              <w:spacing w:before="100" w:beforeAutospacing="1" w:after="120"/>
              <w:ind w:left="540"/>
              <w:rPr>
                <w:rFonts w:ascii="Arial" w:eastAsia="Times New Roman" w:hAnsi="Arial" w:cs="Arial"/>
                <w:sz w:val="24"/>
                <w:szCs w:val="24"/>
              </w:rPr>
            </w:pPr>
            <w:r w:rsidRPr="00CA74CA">
              <w:rPr>
                <w:rFonts w:ascii="Arial" w:hAnsi="Arial" w:cs="Arial"/>
                <w:sz w:val="24"/>
                <w:szCs w:val="24"/>
              </w:rPr>
              <w:t xml:space="preserve">Up to 15 players registered with BC School Sports </w:t>
            </w:r>
            <w:proofErr w:type="gramStart"/>
            <w:r w:rsidRPr="00CA74CA">
              <w:rPr>
                <w:rFonts w:ascii="Arial" w:hAnsi="Arial" w:cs="Arial"/>
                <w:sz w:val="24"/>
                <w:szCs w:val="24"/>
              </w:rPr>
              <w:t>be</w:t>
            </w:r>
            <w:proofErr w:type="gramEnd"/>
            <w:r w:rsidRPr="00CA74CA">
              <w:rPr>
                <w:rFonts w:ascii="Arial" w:hAnsi="Arial" w:cs="Arial"/>
                <w:sz w:val="24"/>
                <w:szCs w:val="24"/>
              </w:rPr>
              <w:t xml:space="preserve"> allowed to play in each match at Fraser Valley Championships. </w:t>
            </w:r>
          </w:p>
        </w:tc>
      </w:tr>
      <w:tr w:rsidR="00CA74CA" w:rsidRPr="00CA74CA" w:rsidTr="00CA74CA">
        <w:trPr>
          <w:trHeight w:val="602"/>
          <w:tblCellSpacing w:w="0" w:type="dxa"/>
        </w:trPr>
        <w:tc>
          <w:tcPr>
            <w:tcW w:w="0" w:type="auto"/>
            <w:shd w:val="clear" w:color="auto" w:fill="auto"/>
            <w:hideMark/>
          </w:tcPr>
          <w:p w:rsidR="00CA74CA" w:rsidRPr="00CA74CA" w:rsidRDefault="00CA74CA" w:rsidP="005271F5">
            <w:pPr>
              <w:spacing w:before="100" w:beforeAutospacing="1" w:after="100" w:afterAutospacing="1" w:line="360" w:lineRule="auto"/>
              <w:ind w:left="540"/>
              <w:rPr>
                <w:rFonts w:ascii="Arial" w:eastAsia="Times New Roman" w:hAnsi="Arial" w:cs="Arial"/>
                <w:sz w:val="24"/>
                <w:szCs w:val="24"/>
              </w:rPr>
            </w:pPr>
            <w:r w:rsidRPr="00CA74CA">
              <w:rPr>
                <w:rFonts w:ascii="Arial" w:eastAsia="Times New Roman" w:hAnsi="Arial" w:cs="Arial"/>
                <w:b/>
                <w:bCs/>
                <w:sz w:val="24"/>
                <w:szCs w:val="24"/>
                <w:lang w:val="en-CA"/>
              </w:rPr>
              <w:t>Substitutions</w:t>
            </w:r>
          </w:p>
        </w:tc>
        <w:tc>
          <w:tcPr>
            <w:tcW w:w="0" w:type="auto"/>
            <w:shd w:val="clear" w:color="auto" w:fill="auto"/>
            <w:hideMark/>
          </w:tcPr>
          <w:p w:rsidR="00CA74CA" w:rsidRPr="00CA74CA" w:rsidRDefault="00CA74CA" w:rsidP="005271F5">
            <w:pPr>
              <w:spacing w:before="100" w:beforeAutospacing="1" w:after="120"/>
              <w:ind w:left="540"/>
              <w:rPr>
                <w:rFonts w:ascii="Arial" w:eastAsia="Times New Roman" w:hAnsi="Arial" w:cs="Arial"/>
                <w:sz w:val="24"/>
                <w:szCs w:val="24"/>
              </w:rPr>
            </w:pPr>
            <w:r w:rsidRPr="00CA74CA">
              <w:rPr>
                <w:rFonts w:ascii="Arial" w:eastAsia="Times New Roman" w:hAnsi="Arial" w:cs="Arial"/>
                <w:sz w:val="24"/>
                <w:szCs w:val="24"/>
                <w:lang w:val="en-CA"/>
              </w:rPr>
              <w:t>Substitutions for all matches are 12 plus a libero</w:t>
            </w:r>
            <w:r>
              <w:rPr>
                <w:rFonts w:ascii="Arial" w:eastAsia="Times New Roman" w:hAnsi="Arial" w:cs="Arial"/>
                <w:sz w:val="24"/>
                <w:szCs w:val="24"/>
                <w:lang w:val="en-CA"/>
              </w:rPr>
              <w:t xml:space="preserve">. </w:t>
            </w:r>
            <w:r w:rsidRPr="00CA74CA">
              <w:rPr>
                <w:rFonts w:ascii="Arial" w:eastAsia="Times New Roman" w:hAnsi="Arial" w:cs="Arial"/>
                <w:sz w:val="24"/>
                <w:szCs w:val="24"/>
                <w:lang w:val="en-CA"/>
              </w:rPr>
              <w:t xml:space="preserve"> Libero can be a different player for each game.</w:t>
            </w:r>
          </w:p>
        </w:tc>
      </w:tr>
      <w:tr w:rsidR="00CA74CA" w:rsidRPr="00CA74CA" w:rsidTr="00CA74CA">
        <w:trPr>
          <w:trHeight w:val="468"/>
          <w:tblCellSpacing w:w="0" w:type="dxa"/>
        </w:trPr>
        <w:tc>
          <w:tcPr>
            <w:tcW w:w="0" w:type="auto"/>
            <w:shd w:val="clear" w:color="auto" w:fill="auto"/>
            <w:hideMark/>
          </w:tcPr>
          <w:p w:rsidR="00CA74CA" w:rsidRPr="00CA74CA" w:rsidRDefault="00CA74CA" w:rsidP="005271F5">
            <w:pPr>
              <w:spacing w:before="100" w:beforeAutospacing="1" w:after="100" w:afterAutospacing="1" w:line="360" w:lineRule="auto"/>
              <w:ind w:left="540"/>
              <w:rPr>
                <w:rFonts w:ascii="Arial" w:eastAsia="Times New Roman" w:hAnsi="Arial" w:cs="Arial"/>
                <w:sz w:val="24"/>
                <w:szCs w:val="24"/>
              </w:rPr>
            </w:pPr>
            <w:r w:rsidRPr="00CA74CA">
              <w:rPr>
                <w:rFonts w:ascii="Arial" w:eastAsia="Times New Roman" w:hAnsi="Arial" w:cs="Arial"/>
                <w:b/>
                <w:bCs/>
                <w:sz w:val="24"/>
                <w:szCs w:val="24"/>
                <w:lang w:val="en-CA"/>
              </w:rPr>
              <w:t>Timeouts</w:t>
            </w:r>
          </w:p>
        </w:tc>
        <w:tc>
          <w:tcPr>
            <w:tcW w:w="0" w:type="auto"/>
            <w:shd w:val="clear" w:color="auto" w:fill="auto"/>
            <w:hideMark/>
          </w:tcPr>
          <w:p w:rsidR="00CA74CA" w:rsidRPr="00CA74CA" w:rsidRDefault="00CA74CA" w:rsidP="005271F5">
            <w:pPr>
              <w:spacing w:before="100" w:beforeAutospacing="1" w:after="120"/>
              <w:ind w:left="540"/>
              <w:rPr>
                <w:rFonts w:ascii="Arial" w:eastAsia="Times New Roman" w:hAnsi="Arial" w:cs="Arial"/>
                <w:sz w:val="24"/>
                <w:szCs w:val="24"/>
              </w:rPr>
            </w:pPr>
            <w:r w:rsidRPr="00CA74CA">
              <w:rPr>
                <w:rFonts w:ascii="Arial" w:eastAsia="Times New Roman" w:hAnsi="Arial" w:cs="Arial"/>
                <w:sz w:val="24"/>
                <w:szCs w:val="24"/>
                <w:lang w:val="en-CA"/>
              </w:rPr>
              <w:t xml:space="preserve">Time-outs are 1 minute in duration. Teams can return onto the court at </w:t>
            </w:r>
            <w:proofErr w:type="spellStart"/>
            <w:r w:rsidRPr="00CA74CA">
              <w:rPr>
                <w:rFonts w:ascii="Arial" w:eastAsia="Times New Roman" w:hAnsi="Arial" w:cs="Arial"/>
                <w:sz w:val="24"/>
                <w:szCs w:val="24"/>
                <w:lang w:val="en-CA"/>
              </w:rPr>
              <w:t>anytime</w:t>
            </w:r>
            <w:proofErr w:type="spellEnd"/>
            <w:r w:rsidRPr="00CA74CA">
              <w:rPr>
                <w:rFonts w:ascii="Arial" w:eastAsia="Times New Roman" w:hAnsi="Arial" w:cs="Arial"/>
                <w:sz w:val="24"/>
                <w:szCs w:val="24"/>
                <w:lang w:val="en-CA"/>
              </w:rPr>
              <w:t xml:space="preserve"> during the time-out period. That is, teams are not required to wait for the other team to return.</w:t>
            </w:r>
          </w:p>
        </w:tc>
      </w:tr>
      <w:tr w:rsidR="00CA74CA" w:rsidRPr="00CA74CA" w:rsidTr="00CA74CA">
        <w:trPr>
          <w:trHeight w:val="1159"/>
          <w:tblCellSpacing w:w="0" w:type="dxa"/>
        </w:trPr>
        <w:tc>
          <w:tcPr>
            <w:tcW w:w="0" w:type="auto"/>
            <w:shd w:val="clear" w:color="auto" w:fill="auto"/>
            <w:hideMark/>
          </w:tcPr>
          <w:p w:rsidR="00CA74CA" w:rsidRPr="00CA74CA" w:rsidRDefault="00CA74CA" w:rsidP="005271F5">
            <w:pPr>
              <w:spacing w:before="100" w:beforeAutospacing="1" w:after="100" w:afterAutospacing="1"/>
              <w:ind w:left="540"/>
              <w:rPr>
                <w:rFonts w:ascii="Arial" w:eastAsia="Times New Roman" w:hAnsi="Arial" w:cs="Arial"/>
                <w:sz w:val="24"/>
                <w:szCs w:val="24"/>
              </w:rPr>
            </w:pPr>
            <w:r w:rsidRPr="00CA74CA">
              <w:rPr>
                <w:rFonts w:ascii="Arial" w:eastAsia="Times New Roman" w:hAnsi="Arial" w:cs="Arial"/>
                <w:b/>
                <w:bCs/>
                <w:sz w:val="24"/>
                <w:szCs w:val="24"/>
                <w:lang w:val="en-CA"/>
              </w:rPr>
              <w:t>Spectator</w:t>
            </w:r>
            <w:r>
              <w:rPr>
                <w:rFonts w:ascii="Arial" w:eastAsia="Times New Roman" w:hAnsi="Arial" w:cs="Arial"/>
                <w:sz w:val="24"/>
                <w:szCs w:val="24"/>
              </w:rPr>
              <w:t xml:space="preserve"> </w:t>
            </w:r>
            <w:r w:rsidRPr="00CA74CA">
              <w:rPr>
                <w:rFonts w:ascii="Arial" w:eastAsia="Times New Roman" w:hAnsi="Arial" w:cs="Arial"/>
                <w:b/>
                <w:bCs/>
                <w:sz w:val="24"/>
                <w:szCs w:val="24"/>
                <w:lang w:val="en-CA"/>
              </w:rPr>
              <w:t>Behaviour</w:t>
            </w:r>
          </w:p>
        </w:tc>
        <w:tc>
          <w:tcPr>
            <w:tcW w:w="0" w:type="auto"/>
            <w:shd w:val="clear" w:color="auto" w:fill="auto"/>
            <w:hideMark/>
          </w:tcPr>
          <w:p w:rsidR="00CA74CA" w:rsidRPr="00CA74CA" w:rsidRDefault="00CA74CA" w:rsidP="005271F5">
            <w:pPr>
              <w:spacing w:before="100" w:beforeAutospacing="1" w:after="120"/>
              <w:ind w:left="540"/>
              <w:rPr>
                <w:rFonts w:ascii="Arial" w:eastAsia="Times New Roman" w:hAnsi="Arial" w:cs="Arial"/>
                <w:sz w:val="24"/>
                <w:szCs w:val="24"/>
              </w:rPr>
            </w:pPr>
            <w:r w:rsidRPr="00CA74CA">
              <w:rPr>
                <w:rFonts w:ascii="Arial" w:eastAsia="Times New Roman" w:hAnsi="Arial" w:cs="Arial"/>
                <w:sz w:val="24"/>
                <w:szCs w:val="24"/>
                <w:lang w:val="en-CA"/>
              </w:rPr>
              <w:t>In the event of inappropriate behaviour by spectators, players or coaches are to instruct their captain to approach the head referee. Head referee, with support from the tournament coordinator and gym supervisor, is to address and correct the concerns. Concerns such as unacceptable language, noises directed to a player at the time of serving, throwing objects on the floor are unacceptable.</w:t>
            </w:r>
          </w:p>
        </w:tc>
      </w:tr>
      <w:tr w:rsidR="00CA74CA" w:rsidRPr="00CA74CA" w:rsidTr="00CA74CA">
        <w:trPr>
          <w:trHeight w:val="1538"/>
          <w:tblCellSpacing w:w="0" w:type="dxa"/>
        </w:trPr>
        <w:tc>
          <w:tcPr>
            <w:tcW w:w="0" w:type="auto"/>
            <w:shd w:val="clear" w:color="auto" w:fill="auto"/>
            <w:hideMark/>
          </w:tcPr>
          <w:p w:rsidR="00CA74CA" w:rsidRPr="00CA74CA" w:rsidRDefault="00CA74CA" w:rsidP="005271F5">
            <w:pPr>
              <w:spacing w:before="100" w:beforeAutospacing="1" w:after="100" w:afterAutospacing="1"/>
              <w:ind w:left="540"/>
              <w:rPr>
                <w:rFonts w:ascii="Arial" w:eastAsia="Times New Roman" w:hAnsi="Arial" w:cs="Arial"/>
                <w:sz w:val="24"/>
                <w:szCs w:val="24"/>
              </w:rPr>
            </w:pPr>
            <w:r w:rsidRPr="00CA74CA">
              <w:rPr>
                <w:rFonts w:ascii="Arial" w:eastAsia="Times New Roman" w:hAnsi="Arial" w:cs="Arial"/>
                <w:b/>
                <w:bCs/>
                <w:sz w:val="24"/>
                <w:szCs w:val="24"/>
                <w:lang w:val="en-CA"/>
              </w:rPr>
              <w:t>Coach in</w:t>
            </w:r>
            <w:r>
              <w:rPr>
                <w:rFonts w:ascii="Arial" w:eastAsia="Times New Roman" w:hAnsi="Arial" w:cs="Arial"/>
                <w:sz w:val="24"/>
                <w:szCs w:val="24"/>
              </w:rPr>
              <w:t xml:space="preserve"> </w:t>
            </w:r>
            <w:r w:rsidRPr="00CA74CA">
              <w:rPr>
                <w:rFonts w:ascii="Arial" w:eastAsia="Times New Roman" w:hAnsi="Arial" w:cs="Arial"/>
                <w:b/>
                <w:bCs/>
                <w:sz w:val="24"/>
                <w:szCs w:val="24"/>
                <w:lang w:val="en-CA"/>
              </w:rPr>
              <w:t>Attendance</w:t>
            </w:r>
          </w:p>
        </w:tc>
        <w:tc>
          <w:tcPr>
            <w:tcW w:w="0" w:type="auto"/>
            <w:shd w:val="clear" w:color="auto" w:fill="auto"/>
            <w:hideMark/>
          </w:tcPr>
          <w:p w:rsidR="00CA74CA" w:rsidRPr="00CA74CA" w:rsidRDefault="00CA74CA" w:rsidP="005271F5">
            <w:pPr>
              <w:spacing w:before="100" w:beforeAutospacing="1" w:after="120"/>
              <w:ind w:left="540"/>
              <w:rPr>
                <w:rFonts w:ascii="Arial" w:eastAsia="Times New Roman" w:hAnsi="Arial" w:cs="Arial"/>
                <w:sz w:val="24"/>
                <w:szCs w:val="24"/>
              </w:rPr>
            </w:pPr>
            <w:r w:rsidRPr="00CA74CA">
              <w:rPr>
                <w:rFonts w:ascii="Arial" w:eastAsia="Times New Roman" w:hAnsi="Arial" w:cs="Arial"/>
                <w:sz w:val="24"/>
                <w:szCs w:val="24"/>
                <w:lang w:val="en-CA"/>
              </w:rPr>
              <w:t xml:space="preserve">Each team must have a coach in attendance at the start of each match. The match cannot start without an adult coach in attendance. There is no need for a community coach to have a teacher sponsor on the bench. It is assumed that the principal (of the school in question) has approved the community coach for this purpose. </w:t>
            </w:r>
          </w:p>
        </w:tc>
      </w:tr>
    </w:tbl>
    <w:p w:rsidR="00A817AF" w:rsidRDefault="00A817AF"/>
    <w:sectPr w:rsidR="00A817AF" w:rsidSect="00CA74CA">
      <w:pgSz w:w="12240" w:h="15840"/>
      <w:pgMar w:top="1152"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CA"/>
    <w:rsid w:val="002C4538"/>
    <w:rsid w:val="005271F5"/>
    <w:rsid w:val="00A817AF"/>
    <w:rsid w:val="00CA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4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A74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4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A74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Sherri</dc:creator>
  <cp:lastModifiedBy>User</cp:lastModifiedBy>
  <cp:revision>2</cp:revision>
  <dcterms:created xsi:type="dcterms:W3CDTF">2012-11-08T17:31:00Z</dcterms:created>
  <dcterms:modified xsi:type="dcterms:W3CDTF">2012-11-08T17:31:00Z</dcterms:modified>
</cp:coreProperties>
</file>